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2021 - 2028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XXII/285/2020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2021-2028: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wieloletnią prognozę finansową Gminy Wejherowo, obejmującą prognozowaną kwotę długu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spłat zobowiązań, stanowiącą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wykaz przedsięwzięć stanowiący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XXX/363/2021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Wielotetnia Prognoza Finansowa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XXX/363/2021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Przedsięwziecia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  <w:br/>
        <w:t xml:space="preserve">do Uchwały Rady Gminy Wejherowo Nr </w:t>
      </w:r>
      <w:r>
        <w:rPr>
          <w:b/>
          <w:szCs w:val="20"/>
        </w:rPr>
        <w:t>XXX/363</w:t>
      </w:r>
      <w:r>
        <w:rPr>
          <w:b/>
          <w:szCs w:val="20"/>
        </w:rPr>
        <w:t xml:space="preserve">/2021 z dnia </w:t>
      </w:r>
      <w:r>
        <w:rPr>
          <w:b/>
          <w:szCs w:val="20"/>
        </w:rPr>
        <w:t>25 sierpnia</w:t>
      </w:r>
      <w:r>
        <w:rPr>
          <w:b/>
          <w:szCs w:val="20"/>
        </w:rPr>
        <w:t xml:space="preserve"> 2021 r. w sprawie zmiany wieloletniej prognozy finansowej  Gminy Wejherowo na lata 2021 - 2028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2021-2028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2021 r. zmniejszono dochody ogółem o kwotę </w:t>
      </w:r>
      <w:r>
        <w:rPr>
          <w:b/>
          <w:color w:val="000000"/>
          <w:szCs w:val="20"/>
          <w:u w:color="000000"/>
        </w:rPr>
        <w:t xml:space="preserve">337.859,00 zł 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dochody majątkowe zwiększono o 261.061,00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dochody bieżące zmniejszono o kwotę 598.920,00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z tytułu subwencji ogólnej oświatowej 53.417,00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zmniejszenie z tytułu dotacji i środków przeznaczonych na cele bieżące – 735.688,00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zwiększenia pozostałe dochody bieżące – 83.351,00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 xml:space="preserve">536.741,00 </w:t>
      </w:r>
      <w:r>
        <w:rPr>
          <w:color w:val="000000"/>
          <w:szCs w:val="20"/>
          <w:u w:color="000000"/>
        </w:rPr>
        <w:t>zł,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wydatki majątkowe zwiększono o kwotę 1.024.362,00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wydatki bieżące zmniejszono o kwotę 487.621,00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przychody ogółem o 874.600,00 zł,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 niewykorzystanych środków pieniężnych na rachunku bieżącym budżetu wynikających z rozliczenia dochodów i wydatków nimi finansowanych związanych ze szczególnymi zasadami wykonywania budżetu, o których mowa w art. 217 ust.2 pkt 8 ustawy, o 1.938.165,00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b)zmniejszenie przychodów  wolnych środków, o których mowa w art. 217 ust.2 pkt 6 ustawy, o 1.063.565,00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wpłynęły na wynik budżetu na 2021r., który kształtuje się jako deficyt w wysokości 6.602.788,59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przedsięwzięć uaktualniono nakłady finansowe  i limity na lata 2021 i 202</w:t>
      </w: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</w:rPr>
        <w:t xml:space="preserve"> na zadania ujęte w załączniku.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2021-202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</w:rPr>
        <w:t xml:space="preserve">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a)Zarządzenia Wójta Gminy nr 63/2021 z dnia 28 maja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b)Uchwały Rady Gminy XXVIII/352/2021 z dnia 23 czerwca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c)Zarządzenia Wójta Gminy nr 79/2021 z dnia 24 czerwca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d)Zarządzenia Wójta Gminy nr 91/2021 z dnia 8 lipca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e)Zarządzenia Wójta Gminy nr 95/2021 z dnia 21 lipca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f)Uchwały Rady Gminy XXX/</w:t>
      </w:r>
      <w:r>
        <w:rPr>
          <w:color w:val="000000"/>
          <w:szCs w:val="20"/>
          <w:u w:color="000000"/>
        </w:rPr>
        <w:t>362</w:t>
      </w:r>
      <w:r>
        <w:rPr>
          <w:color w:val="000000"/>
          <w:szCs w:val="20"/>
          <w:u w:color="000000"/>
        </w:rPr>
        <w:t xml:space="preserve">/2021 z dnia </w:t>
      </w:r>
      <w:r>
        <w:rPr>
          <w:color w:val="000000"/>
          <w:szCs w:val="20"/>
          <w:u w:color="000000"/>
        </w:rPr>
        <w:t>25</w:t>
      </w:r>
      <w:r>
        <w:rPr>
          <w:color w:val="000000"/>
          <w:szCs w:val="20"/>
          <w:u w:color="000000"/>
        </w:rPr>
        <w:t xml:space="preserve"> sierpnia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righ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righ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BE7EAFCE-AD46-4E31-83A1-9038305A51F1.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BE7EAFCE-AD46-4E31-83A1-9038305A51F1.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BE7EAFCE-AD46-4E31-83A1-9038305A51F1.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BE7EAFCE-AD46-4E31-83A1-9038305A51F1.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XXX/363/2021 z dnia 25 sierpnia 2021 r.</dc:title>
  <dc:subject>w sprawie zmiany wieloletniej prognozy finansowej na lata 2021^- 2028</dc:subject>
  <dc:creator>m.piekarska-klas</dc:creator>
  <cp:lastModifiedBy>m.piekarska-klas</cp:lastModifiedBy>
  <cp:revision>1</cp:revision>
  <dcterms:created xsi:type="dcterms:W3CDTF">2021-08-26T13:43:51Z</dcterms:created>
  <dcterms:modified xsi:type="dcterms:W3CDTF">2021-08-26T13:43:51Z</dcterms:modified>
  <cp:category>Akt prawny</cp:category>
</cp:coreProperties>
</file>